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7" w:rsidRPr="00F77B2B" w:rsidRDefault="00FA7407">
      <w:pPr>
        <w:rPr>
          <w:rFonts w:ascii="Arial" w:hAnsi="Arial" w:cs="Arial"/>
          <w:sz w:val="32"/>
        </w:rPr>
      </w:pPr>
    </w:p>
    <w:tbl>
      <w:tblPr>
        <w:tblStyle w:val="TableGrid"/>
        <w:tblpPr w:leftFromText="180" w:rightFromText="180" w:vertAnchor="page" w:horzAnchor="margin" w:tblpY="1366"/>
        <w:tblW w:w="14312" w:type="dxa"/>
        <w:tblLook w:val="04A0" w:firstRow="1" w:lastRow="0" w:firstColumn="1" w:lastColumn="0" w:noHBand="0" w:noVBand="1"/>
      </w:tblPr>
      <w:tblGrid>
        <w:gridCol w:w="2294"/>
        <w:gridCol w:w="2361"/>
        <w:gridCol w:w="2365"/>
        <w:gridCol w:w="1384"/>
        <w:gridCol w:w="980"/>
        <w:gridCol w:w="2360"/>
        <w:gridCol w:w="2568"/>
      </w:tblGrid>
      <w:tr w:rsidR="00F77B2B" w:rsidTr="00F77B2B">
        <w:trPr>
          <w:trHeight w:val="567"/>
        </w:trPr>
        <w:tc>
          <w:tcPr>
            <w:tcW w:w="2294" w:type="dxa"/>
            <w:vAlign w:val="center"/>
          </w:tcPr>
          <w:p w:rsidR="00F77B2B" w:rsidRDefault="00F77B2B" w:rsidP="00F77B2B">
            <w:pPr>
              <w:spacing w:before="120" w:after="120"/>
            </w:pPr>
            <w:r>
              <w:t xml:space="preserve">S5/6 </w:t>
            </w:r>
          </w:p>
          <w:p w:rsidR="00F77B2B" w:rsidRDefault="00F77B2B" w:rsidP="00F77B2B">
            <w:pPr>
              <w:spacing w:before="120" w:after="120"/>
            </w:pPr>
            <w:r>
              <w:t>(National (N) 4/5 and Higher)</w:t>
            </w:r>
          </w:p>
        </w:tc>
        <w:tc>
          <w:tcPr>
            <w:tcW w:w="12018" w:type="dxa"/>
            <w:gridSpan w:val="6"/>
            <w:vAlign w:val="center"/>
          </w:tcPr>
          <w:p w:rsidR="00F77B2B" w:rsidRDefault="00F77B2B" w:rsidP="00F77B2B">
            <w:pPr>
              <w:spacing w:before="120" w:after="120"/>
              <w:jc w:val="both"/>
            </w:pPr>
            <w:r>
              <w:t>Progression will be up to the next level or laterally to a related subject, e.g. N5 Economics to N5 Accountancy</w:t>
            </w:r>
          </w:p>
          <w:p w:rsidR="00F77B2B" w:rsidRDefault="00F77B2B" w:rsidP="00F77B2B">
            <w:pPr>
              <w:spacing w:before="120" w:after="120"/>
              <w:jc w:val="both"/>
            </w:pPr>
            <w:r>
              <w:t>In some cases, pupils can select any subject at Higher level where they have already shown a high level of aptitude in one or more of the other subjects on offer and / or have a proven record of high attainment.</w:t>
            </w:r>
          </w:p>
        </w:tc>
      </w:tr>
      <w:tr w:rsidR="00F77B2B" w:rsidTr="00F77B2B">
        <w:trPr>
          <w:trHeight w:val="567"/>
        </w:trPr>
        <w:tc>
          <w:tcPr>
            <w:tcW w:w="2294" w:type="dxa"/>
            <w:vAlign w:val="center"/>
          </w:tcPr>
          <w:p w:rsidR="00F77B2B" w:rsidRDefault="00F77B2B" w:rsidP="00F77B2B">
            <w:pPr>
              <w:spacing w:before="120" w:after="120"/>
              <w:jc w:val="both"/>
            </w:pPr>
            <w:r>
              <w:t>S4 (National 4/5)</w:t>
            </w:r>
          </w:p>
        </w:tc>
        <w:tc>
          <w:tcPr>
            <w:tcW w:w="2361" w:type="dxa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Accounting</w:t>
            </w:r>
          </w:p>
          <w:p w:rsidR="00F77B2B" w:rsidRDefault="00F77B2B" w:rsidP="00F77B2B">
            <w:pPr>
              <w:spacing w:before="120" w:after="120"/>
              <w:jc w:val="center"/>
            </w:pPr>
            <w:r>
              <w:t>(N5 only)</w:t>
            </w:r>
          </w:p>
        </w:tc>
        <w:tc>
          <w:tcPr>
            <w:tcW w:w="2365" w:type="dxa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Administration &amp; IT</w:t>
            </w:r>
          </w:p>
        </w:tc>
        <w:tc>
          <w:tcPr>
            <w:tcW w:w="2364" w:type="dxa"/>
            <w:gridSpan w:val="2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Business Management</w:t>
            </w:r>
          </w:p>
        </w:tc>
        <w:tc>
          <w:tcPr>
            <w:tcW w:w="2360" w:type="dxa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Economics</w:t>
            </w:r>
          </w:p>
          <w:p w:rsidR="00F77B2B" w:rsidRDefault="00F77B2B" w:rsidP="00F77B2B">
            <w:pPr>
              <w:spacing w:before="120" w:after="120"/>
              <w:jc w:val="center"/>
            </w:pPr>
            <w:r>
              <w:t>(N5 only)</w:t>
            </w:r>
          </w:p>
        </w:tc>
        <w:tc>
          <w:tcPr>
            <w:tcW w:w="2568" w:type="dxa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Computing Science</w:t>
            </w:r>
          </w:p>
        </w:tc>
      </w:tr>
      <w:tr w:rsidR="00F77B2B" w:rsidTr="00F77B2B">
        <w:trPr>
          <w:trHeight w:val="567"/>
        </w:trPr>
        <w:tc>
          <w:tcPr>
            <w:tcW w:w="2294" w:type="dxa"/>
            <w:vAlign w:val="center"/>
          </w:tcPr>
          <w:p w:rsidR="00F77B2B" w:rsidRDefault="00F77B2B" w:rsidP="00F77B2B">
            <w:pPr>
              <w:spacing w:before="120" w:after="120"/>
              <w:jc w:val="both"/>
            </w:pPr>
            <w:r>
              <w:t>S3 (</w:t>
            </w:r>
            <w:proofErr w:type="spellStart"/>
            <w:r>
              <w:t>CfE</w:t>
            </w:r>
            <w:proofErr w:type="spellEnd"/>
            <w:r>
              <w:t xml:space="preserve"> Levels 3/4)</w:t>
            </w:r>
          </w:p>
        </w:tc>
        <w:tc>
          <w:tcPr>
            <w:tcW w:w="6110" w:type="dxa"/>
            <w:gridSpan w:val="3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Business Administration</w:t>
            </w:r>
          </w:p>
        </w:tc>
        <w:tc>
          <w:tcPr>
            <w:tcW w:w="5908" w:type="dxa"/>
            <w:gridSpan w:val="3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Computing Science</w:t>
            </w:r>
          </w:p>
        </w:tc>
      </w:tr>
      <w:tr w:rsidR="00F77B2B" w:rsidTr="00F77B2B">
        <w:trPr>
          <w:trHeight w:val="567"/>
        </w:trPr>
        <w:tc>
          <w:tcPr>
            <w:tcW w:w="2294" w:type="dxa"/>
            <w:vAlign w:val="center"/>
          </w:tcPr>
          <w:p w:rsidR="00F77B2B" w:rsidRDefault="00F77B2B" w:rsidP="00F77B2B">
            <w:pPr>
              <w:spacing w:before="120" w:after="120"/>
              <w:jc w:val="both"/>
            </w:pPr>
            <w:r>
              <w:t xml:space="preserve">S1 and 2 </w:t>
            </w:r>
          </w:p>
          <w:p w:rsidR="00F77B2B" w:rsidRDefault="00F77B2B" w:rsidP="00F77B2B">
            <w:pPr>
              <w:spacing w:before="120" w:after="120"/>
              <w:jc w:val="both"/>
            </w:pPr>
            <w:r>
              <w:t>(</w:t>
            </w:r>
            <w:proofErr w:type="spellStart"/>
            <w:r>
              <w:t>CfE</w:t>
            </w:r>
            <w:proofErr w:type="spellEnd"/>
            <w:r>
              <w:t xml:space="preserve"> Levels 2/3)</w:t>
            </w:r>
          </w:p>
        </w:tc>
        <w:tc>
          <w:tcPr>
            <w:tcW w:w="12018" w:type="dxa"/>
            <w:gridSpan w:val="6"/>
            <w:vAlign w:val="center"/>
          </w:tcPr>
          <w:p w:rsidR="00F77B2B" w:rsidRDefault="00F77B2B" w:rsidP="00F77B2B">
            <w:pPr>
              <w:spacing w:before="120" w:after="120"/>
              <w:jc w:val="center"/>
            </w:pPr>
            <w:r>
              <w:t>S1 - S2 Enterprise and Technology</w:t>
            </w:r>
          </w:p>
        </w:tc>
      </w:tr>
    </w:tbl>
    <w:p w:rsidR="006D0C8D" w:rsidRPr="00642EB3" w:rsidRDefault="006D0C8D">
      <w:pPr>
        <w:rPr>
          <w:b/>
        </w:rPr>
      </w:pPr>
      <w:r w:rsidRPr="00642EB3">
        <w:rPr>
          <w:b/>
        </w:rPr>
        <w:t>Examples of progression</w:t>
      </w:r>
      <w:r w:rsidR="00BA56C8">
        <w:rPr>
          <w:b/>
        </w:rPr>
        <w:t xml:space="preserve"> pathways</w:t>
      </w:r>
      <w:r w:rsidR="00F77B2B">
        <w:rPr>
          <w:b/>
        </w:rPr>
        <w:t>:</w:t>
      </w:r>
      <w:bookmarkStart w:id="0" w:name="_GoBack"/>
      <w:bookmarkEnd w:id="0"/>
    </w:p>
    <w:p w:rsidR="006D0C8D" w:rsidRPr="00F77B2B" w:rsidRDefault="006D0C8D">
      <w:pPr>
        <w:rPr>
          <w:rFonts w:ascii="Arial" w:hAnsi="Arial" w:cs="Arial"/>
          <w:sz w:val="28"/>
        </w:rPr>
      </w:pPr>
    </w:p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835"/>
        <w:gridCol w:w="3402"/>
        <w:gridCol w:w="2974"/>
      </w:tblGrid>
      <w:tr w:rsidR="00A949AE" w:rsidTr="00A2304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49AE" w:rsidRDefault="00A949AE"/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49AE" w:rsidRPr="00DE4EE2" w:rsidRDefault="00A949AE" w:rsidP="00DE4EE2">
            <w:pPr>
              <w:jc w:val="center"/>
              <w:rPr>
                <w:b/>
              </w:rPr>
            </w:pPr>
            <w:r>
              <w:rPr>
                <w:b/>
              </w:rPr>
              <w:t>Broad General Education</w:t>
            </w:r>
          </w:p>
        </w:tc>
        <w:tc>
          <w:tcPr>
            <w:tcW w:w="92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49AE" w:rsidRPr="00DE4EE2" w:rsidRDefault="00A949AE" w:rsidP="00DE4EE2">
            <w:pPr>
              <w:jc w:val="center"/>
              <w:rPr>
                <w:b/>
              </w:rPr>
            </w:pPr>
            <w:r>
              <w:rPr>
                <w:b/>
              </w:rPr>
              <w:t>Senior Phase</w:t>
            </w:r>
          </w:p>
        </w:tc>
      </w:tr>
      <w:tr w:rsidR="00A949AE" w:rsidTr="00A2304A">
        <w:tc>
          <w:tcPr>
            <w:tcW w:w="11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49AE" w:rsidRDefault="00A949AE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49AE" w:rsidRPr="00DE4EE2" w:rsidRDefault="00A949AE" w:rsidP="00DE4EE2">
            <w:pPr>
              <w:jc w:val="center"/>
              <w:rPr>
                <w:b/>
              </w:rPr>
            </w:pPr>
            <w:r w:rsidRPr="00DE4EE2">
              <w:rPr>
                <w:b/>
              </w:rPr>
              <w:t>S1 and 2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9AE" w:rsidRPr="00DE4EE2" w:rsidRDefault="00A949AE" w:rsidP="00DE4EE2">
            <w:pPr>
              <w:jc w:val="center"/>
              <w:rPr>
                <w:b/>
              </w:rPr>
            </w:pPr>
            <w:r w:rsidRPr="00DE4EE2">
              <w:rPr>
                <w:b/>
              </w:rPr>
              <w:t>S3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9AE" w:rsidRPr="00DE4EE2" w:rsidRDefault="00A949AE" w:rsidP="00DE4EE2">
            <w:pPr>
              <w:jc w:val="center"/>
              <w:rPr>
                <w:b/>
              </w:rPr>
            </w:pPr>
            <w:r w:rsidRPr="00DE4EE2">
              <w:rPr>
                <w:b/>
              </w:rPr>
              <w:t>S4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9AE" w:rsidRPr="00DE4EE2" w:rsidRDefault="00A949AE" w:rsidP="00DE4EE2">
            <w:pPr>
              <w:jc w:val="center"/>
              <w:rPr>
                <w:b/>
              </w:rPr>
            </w:pPr>
            <w:r w:rsidRPr="00DE4EE2">
              <w:rPr>
                <w:b/>
              </w:rPr>
              <w:t>S5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9AE" w:rsidRPr="00DE4EE2" w:rsidRDefault="00A949AE" w:rsidP="00DE4EE2">
            <w:pPr>
              <w:jc w:val="center"/>
              <w:rPr>
                <w:b/>
              </w:rPr>
            </w:pPr>
            <w:r w:rsidRPr="00DE4EE2">
              <w:rPr>
                <w:b/>
              </w:rPr>
              <w:t>S6</w:t>
            </w:r>
          </w:p>
        </w:tc>
      </w:tr>
      <w:tr w:rsidR="006D0C8D" w:rsidTr="00A2304A"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6D0C8D" w:rsidRDefault="006D0C8D" w:rsidP="006D0C8D">
            <w:pPr>
              <w:jc w:val="center"/>
            </w:pPr>
            <w:r>
              <w:t>Pupil 1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D0C8D" w:rsidRDefault="006D0C8D" w:rsidP="006D0C8D">
            <w:pPr>
              <w:jc w:val="center"/>
            </w:pPr>
            <w:r>
              <w:t>Enterprise and Technology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D0C8D" w:rsidRDefault="006D0C8D" w:rsidP="006D0C8D">
            <w:pPr>
              <w:jc w:val="center"/>
            </w:pPr>
            <w:r>
              <w:t>Business Administration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D0C8D" w:rsidRDefault="00943FE4" w:rsidP="006D0C8D">
            <w:pPr>
              <w:jc w:val="center"/>
            </w:pPr>
            <w:r>
              <w:t>N</w:t>
            </w:r>
            <w:r w:rsidR="006D0C8D">
              <w:t>5 Business Management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D0C8D" w:rsidRDefault="006D0C8D" w:rsidP="006D0C8D">
            <w:pPr>
              <w:jc w:val="center"/>
            </w:pPr>
            <w:r>
              <w:t>Higher Business Management</w:t>
            </w:r>
          </w:p>
          <w:p w:rsidR="006D0C8D" w:rsidRDefault="00943FE4" w:rsidP="006D0C8D">
            <w:pPr>
              <w:jc w:val="center"/>
            </w:pPr>
            <w:r>
              <w:t>N</w:t>
            </w:r>
            <w:r w:rsidR="006D0C8D">
              <w:t>5 Accounting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:rsidR="006D0C8D" w:rsidRDefault="006D0C8D" w:rsidP="006D0C8D">
            <w:pPr>
              <w:jc w:val="center"/>
            </w:pPr>
            <w:r>
              <w:t>Higher Accounting</w:t>
            </w:r>
          </w:p>
          <w:p w:rsidR="006D0C8D" w:rsidRDefault="006D0C8D" w:rsidP="006D0C8D">
            <w:pPr>
              <w:jc w:val="center"/>
            </w:pPr>
            <w:r>
              <w:t>Higher Economics</w:t>
            </w:r>
          </w:p>
        </w:tc>
      </w:tr>
      <w:tr w:rsidR="006D0C8D" w:rsidTr="00240EB6">
        <w:tc>
          <w:tcPr>
            <w:tcW w:w="1101" w:type="dxa"/>
            <w:vAlign w:val="center"/>
          </w:tcPr>
          <w:p w:rsidR="006D0C8D" w:rsidRDefault="006D0C8D" w:rsidP="006D0C8D">
            <w:pPr>
              <w:jc w:val="center"/>
            </w:pPr>
            <w:r>
              <w:t>Pupil 2</w:t>
            </w:r>
          </w:p>
        </w:tc>
        <w:tc>
          <w:tcPr>
            <w:tcW w:w="1842" w:type="dxa"/>
            <w:vAlign w:val="center"/>
          </w:tcPr>
          <w:p w:rsidR="006D0C8D" w:rsidRDefault="006D0C8D" w:rsidP="006D0C8D">
            <w:pPr>
              <w:jc w:val="center"/>
            </w:pPr>
            <w:r>
              <w:t>Enterprise and Technology</w:t>
            </w:r>
          </w:p>
        </w:tc>
        <w:tc>
          <w:tcPr>
            <w:tcW w:w="2127" w:type="dxa"/>
            <w:vAlign w:val="center"/>
          </w:tcPr>
          <w:p w:rsidR="006D0C8D" w:rsidRDefault="006D0C8D" w:rsidP="006D0C8D">
            <w:pPr>
              <w:jc w:val="center"/>
            </w:pPr>
            <w:r>
              <w:t>Computing Science</w:t>
            </w:r>
          </w:p>
        </w:tc>
        <w:tc>
          <w:tcPr>
            <w:tcW w:w="2835" w:type="dxa"/>
            <w:vAlign w:val="center"/>
          </w:tcPr>
          <w:p w:rsidR="006D0C8D" w:rsidRDefault="00943FE4" w:rsidP="006D0C8D">
            <w:pPr>
              <w:jc w:val="center"/>
            </w:pPr>
            <w:r>
              <w:t>N</w:t>
            </w:r>
            <w:r w:rsidR="006D0C8D">
              <w:t>5 Computing Science</w:t>
            </w:r>
          </w:p>
        </w:tc>
        <w:tc>
          <w:tcPr>
            <w:tcW w:w="3402" w:type="dxa"/>
            <w:vAlign w:val="center"/>
          </w:tcPr>
          <w:p w:rsidR="006D0C8D" w:rsidRDefault="006D0C8D" w:rsidP="006D0C8D">
            <w:pPr>
              <w:jc w:val="center"/>
            </w:pPr>
            <w:r>
              <w:t>Higher Computing Science</w:t>
            </w:r>
          </w:p>
          <w:p w:rsidR="006D0C8D" w:rsidRDefault="006D0C8D" w:rsidP="006D0C8D">
            <w:pPr>
              <w:jc w:val="center"/>
            </w:pPr>
            <w:r>
              <w:t>Higher Administration &amp; IT</w:t>
            </w:r>
          </w:p>
        </w:tc>
        <w:tc>
          <w:tcPr>
            <w:tcW w:w="2974" w:type="dxa"/>
            <w:vAlign w:val="center"/>
          </w:tcPr>
          <w:p w:rsidR="006D0C8D" w:rsidRDefault="00943FE4" w:rsidP="006D0C8D">
            <w:pPr>
              <w:jc w:val="center"/>
            </w:pPr>
            <w:r>
              <w:t>N</w:t>
            </w:r>
            <w:r w:rsidR="006D0C8D">
              <w:t>5 or Higher in Accounting</w:t>
            </w:r>
            <w:r w:rsidR="00DE4EE2">
              <w:t xml:space="preserve"> and/or</w:t>
            </w:r>
          </w:p>
          <w:p w:rsidR="006D0C8D" w:rsidRDefault="006D0C8D" w:rsidP="006D0C8D">
            <w:pPr>
              <w:jc w:val="center"/>
            </w:pPr>
            <w:r>
              <w:t>Administration &amp; IT</w:t>
            </w:r>
            <w:r w:rsidR="00DE4EE2">
              <w:t xml:space="preserve"> and/or</w:t>
            </w:r>
          </w:p>
          <w:p w:rsidR="006D0C8D" w:rsidRDefault="006D0C8D" w:rsidP="006D0C8D">
            <w:pPr>
              <w:jc w:val="center"/>
            </w:pPr>
            <w:r>
              <w:t>Business Management</w:t>
            </w:r>
            <w:r w:rsidR="00DE4EE2">
              <w:t xml:space="preserve"> and/or</w:t>
            </w:r>
          </w:p>
          <w:p w:rsidR="006D0C8D" w:rsidRDefault="006D0C8D" w:rsidP="006D0C8D">
            <w:pPr>
              <w:jc w:val="center"/>
            </w:pPr>
            <w:r>
              <w:t>Economics</w:t>
            </w:r>
          </w:p>
        </w:tc>
      </w:tr>
      <w:tr w:rsidR="006D0C8D" w:rsidTr="00240EB6">
        <w:tc>
          <w:tcPr>
            <w:tcW w:w="1101" w:type="dxa"/>
            <w:vAlign w:val="center"/>
          </w:tcPr>
          <w:p w:rsidR="006D0C8D" w:rsidRDefault="006D0C8D" w:rsidP="006D0C8D">
            <w:pPr>
              <w:jc w:val="center"/>
            </w:pPr>
            <w:r>
              <w:t>Pupil 3</w:t>
            </w:r>
          </w:p>
        </w:tc>
        <w:tc>
          <w:tcPr>
            <w:tcW w:w="1842" w:type="dxa"/>
            <w:vAlign w:val="center"/>
          </w:tcPr>
          <w:p w:rsidR="006D0C8D" w:rsidRDefault="006D0C8D" w:rsidP="006D0C8D">
            <w:pPr>
              <w:jc w:val="center"/>
            </w:pPr>
            <w:r>
              <w:t>Enterprise and Technology</w:t>
            </w:r>
          </w:p>
        </w:tc>
        <w:tc>
          <w:tcPr>
            <w:tcW w:w="2127" w:type="dxa"/>
            <w:vAlign w:val="center"/>
          </w:tcPr>
          <w:p w:rsidR="006D0C8D" w:rsidRDefault="006D0C8D" w:rsidP="006D0C8D">
            <w:pPr>
              <w:jc w:val="center"/>
            </w:pPr>
            <w:r>
              <w:t>No choice made</w:t>
            </w:r>
          </w:p>
        </w:tc>
        <w:tc>
          <w:tcPr>
            <w:tcW w:w="2835" w:type="dxa"/>
            <w:vAlign w:val="center"/>
          </w:tcPr>
          <w:p w:rsidR="006D0C8D" w:rsidRDefault="00943FE4" w:rsidP="006D0C8D">
            <w:pPr>
              <w:jc w:val="center"/>
            </w:pPr>
            <w:r>
              <w:t>N</w:t>
            </w:r>
            <w:r w:rsidR="006D0C8D">
              <w:t>4/5 Accounting</w:t>
            </w:r>
          </w:p>
        </w:tc>
        <w:tc>
          <w:tcPr>
            <w:tcW w:w="3402" w:type="dxa"/>
            <w:vAlign w:val="center"/>
          </w:tcPr>
          <w:p w:rsidR="006D0C8D" w:rsidRDefault="00943FE4" w:rsidP="006D0C8D">
            <w:pPr>
              <w:jc w:val="center"/>
            </w:pPr>
            <w:r>
              <w:t>N</w:t>
            </w:r>
            <w:r w:rsidR="006D0C8D">
              <w:t>4/5 Administration &amp; IT</w:t>
            </w:r>
          </w:p>
          <w:p w:rsidR="006D0C8D" w:rsidRDefault="00943FE4" w:rsidP="006D0C8D">
            <w:pPr>
              <w:jc w:val="center"/>
            </w:pPr>
            <w:r>
              <w:t>N</w:t>
            </w:r>
            <w:r w:rsidR="006D0C8D">
              <w:t>4/5 Economics</w:t>
            </w:r>
          </w:p>
        </w:tc>
        <w:tc>
          <w:tcPr>
            <w:tcW w:w="2974" w:type="dxa"/>
            <w:vAlign w:val="center"/>
          </w:tcPr>
          <w:p w:rsidR="00240EB6" w:rsidRDefault="006D0C8D" w:rsidP="00240EB6">
            <w:pPr>
              <w:jc w:val="center"/>
            </w:pPr>
            <w:r>
              <w:t>Higher Administration &amp; IT</w:t>
            </w:r>
          </w:p>
        </w:tc>
      </w:tr>
      <w:tr w:rsidR="00240EB6" w:rsidTr="00B46F6F">
        <w:tc>
          <w:tcPr>
            <w:tcW w:w="1101" w:type="dxa"/>
            <w:shd w:val="clear" w:color="auto" w:fill="CCC0D9" w:themeFill="accent4" w:themeFillTint="66"/>
            <w:vAlign w:val="center"/>
          </w:tcPr>
          <w:p w:rsidR="00240EB6" w:rsidRDefault="00240EB6" w:rsidP="006D0C8D">
            <w:pPr>
              <w:jc w:val="center"/>
            </w:pPr>
            <w:r>
              <w:t>Pupil 4*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240EB6" w:rsidRDefault="00240EB6" w:rsidP="006D0C8D">
            <w:pPr>
              <w:jc w:val="center"/>
            </w:pPr>
            <w:r>
              <w:t>Enterprise and Technology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240EB6" w:rsidRDefault="00240EB6" w:rsidP="006D0C8D">
            <w:pPr>
              <w:jc w:val="center"/>
            </w:pPr>
            <w:r>
              <w:t>Business Administration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240EB6" w:rsidRDefault="00943FE4" w:rsidP="006D0C8D">
            <w:pPr>
              <w:jc w:val="center"/>
            </w:pPr>
            <w:r>
              <w:t>N</w:t>
            </w:r>
            <w:r w:rsidR="00240EB6">
              <w:t>5 Business Management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240EB6" w:rsidRDefault="00240EB6" w:rsidP="006D0C8D">
            <w:pPr>
              <w:jc w:val="center"/>
            </w:pPr>
            <w:r>
              <w:t>Higher Business Management</w:t>
            </w:r>
          </w:p>
        </w:tc>
        <w:tc>
          <w:tcPr>
            <w:tcW w:w="2974" w:type="dxa"/>
            <w:shd w:val="clear" w:color="auto" w:fill="CCC0D9" w:themeFill="accent4" w:themeFillTint="66"/>
            <w:vAlign w:val="center"/>
          </w:tcPr>
          <w:p w:rsidR="00240EB6" w:rsidRDefault="00240EB6" w:rsidP="00240EB6">
            <w:pPr>
              <w:jc w:val="center"/>
            </w:pPr>
            <w:r>
              <w:t>AH Business Management</w:t>
            </w:r>
          </w:p>
        </w:tc>
      </w:tr>
    </w:tbl>
    <w:p w:rsidR="006D0C8D" w:rsidRDefault="006D0C8D"/>
    <w:p w:rsidR="00BA56C8" w:rsidRDefault="00240EB6" w:rsidP="00B46F6F">
      <w:pPr>
        <w:jc w:val="both"/>
      </w:pPr>
      <w:r>
        <w:t xml:space="preserve">*Pupil 4 is an example of a standard progression route.  This could apply to </w:t>
      </w:r>
      <w:r w:rsidR="00BA56C8">
        <w:rPr>
          <w:b/>
        </w:rPr>
        <w:t>all</w:t>
      </w:r>
      <w:r>
        <w:t xml:space="preserve"> subjects.</w:t>
      </w:r>
      <w:r w:rsidR="00B46F6F">
        <w:t xml:space="preserve">  </w:t>
      </w:r>
    </w:p>
    <w:p w:rsidR="006D0C8D" w:rsidRDefault="00B46F6F" w:rsidP="00B46F6F">
      <w:pPr>
        <w:jc w:val="both"/>
      </w:pPr>
      <w:r>
        <w:t>Pupils 1-3 will progress according to their interests and ability.</w:t>
      </w:r>
    </w:p>
    <w:p w:rsidR="00BA56C8" w:rsidRDefault="00BA56C8" w:rsidP="00B46F6F">
      <w:pPr>
        <w:jc w:val="both"/>
      </w:pPr>
    </w:p>
    <w:p w:rsidR="006D0C8D" w:rsidRDefault="006D0C8D" w:rsidP="00B46F6F">
      <w:pPr>
        <w:jc w:val="both"/>
      </w:pPr>
      <w:r>
        <w:t xml:space="preserve">Pupils have in the past chosen to self-study at AH level in Accounting and Business Management and </w:t>
      </w:r>
      <w:r w:rsidR="006A34E4">
        <w:t>the Faculty are prepared to support pupils who wish to continue to study at that level in any of the subjects offered.</w:t>
      </w:r>
    </w:p>
    <w:sectPr w:rsidR="006D0C8D" w:rsidSect="00BA56C8">
      <w:headerReference w:type="default" r:id="rId6"/>
      <w:pgSz w:w="16838" w:h="11906" w:orient="landscape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27" w:rsidRDefault="004B6127" w:rsidP="009C5138">
      <w:r>
        <w:separator/>
      </w:r>
    </w:p>
  </w:endnote>
  <w:endnote w:type="continuationSeparator" w:id="0">
    <w:p w:rsidR="004B6127" w:rsidRDefault="004B6127" w:rsidP="009C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27" w:rsidRDefault="004B6127" w:rsidP="009C5138">
      <w:r>
        <w:separator/>
      </w:r>
    </w:p>
  </w:footnote>
  <w:footnote w:type="continuationSeparator" w:id="0">
    <w:p w:rsidR="004B6127" w:rsidRDefault="004B6127" w:rsidP="009C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E2" w:rsidRPr="009C5138" w:rsidRDefault="00DE4EE2" w:rsidP="00F44E49">
    <w:pPr>
      <w:pStyle w:val="Header"/>
      <w:jc w:val="center"/>
      <w:rPr>
        <w:b/>
      </w:rPr>
    </w:pPr>
    <w:r w:rsidRPr="009C5138">
      <w:rPr>
        <w:b/>
      </w:rPr>
      <w:t>Faculty of Business Education, Enterprise and ICT</w:t>
    </w:r>
  </w:p>
  <w:p w:rsidR="00DE4EE2" w:rsidRPr="009C5138" w:rsidRDefault="00BA56C8" w:rsidP="00F44E49">
    <w:pPr>
      <w:pStyle w:val="Header"/>
      <w:jc w:val="center"/>
      <w:rPr>
        <w:b/>
      </w:rPr>
    </w:pPr>
    <w:r>
      <w:rPr>
        <w:b/>
      </w:rPr>
      <w:t>Progression Pathways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17"/>
    <w:rsid w:val="00035B9D"/>
    <w:rsid w:val="001D4CA4"/>
    <w:rsid w:val="00240EB6"/>
    <w:rsid w:val="0026618A"/>
    <w:rsid w:val="003D2B28"/>
    <w:rsid w:val="00423417"/>
    <w:rsid w:val="004A33C0"/>
    <w:rsid w:val="004B6127"/>
    <w:rsid w:val="00514FCC"/>
    <w:rsid w:val="005A2CD4"/>
    <w:rsid w:val="00642EB3"/>
    <w:rsid w:val="006A34E4"/>
    <w:rsid w:val="006B587C"/>
    <w:rsid w:val="006D0C8D"/>
    <w:rsid w:val="006D52B2"/>
    <w:rsid w:val="00731C27"/>
    <w:rsid w:val="008A0B17"/>
    <w:rsid w:val="00943FE4"/>
    <w:rsid w:val="009C5138"/>
    <w:rsid w:val="00A2304A"/>
    <w:rsid w:val="00A949AE"/>
    <w:rsid w:val="00B46F6F"/>
    <w:rsid w:val="00BA56C8"/>
    <w:rsid w:val="00BD7A9B"/>
    <w:rsid w:val="00DB0854"/>
    <w:rsid w:val="00DE0FEB"/>
    <w:rsid w:val="00DE4EE2"/>
    <w:rsid w:val="00F44E49"/>
    <w:rsid w:val="00F77B2B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3E6C0-F3E4-4890-B502-AAA41C0F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5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5138"/>
  </w:style>
  <w:style w:type="paragraph" w:styleId="Footer">
    <w:name w:val="footer"/>
    <w:basedOn w:val="Normal"/>
    <w:link w:val="FooterChar"/>
    <w:rsid w:val="009C5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5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Forbes</dc:creator>
  <cp:lastModifiedBy>Phil Gaiter</cp:lastModifiedBy>
  <cp:revision>8</cp:revision>
  <cp:lastPrinted>2019-01-31T09:35:00Z</cp:lastPrinted>
  <dcterms:created xsi:type="dcterms:W3CDTF">2019-01-09T16:56:00Z</dcterms:created>
  <dcterms:modified xsi:type="dcterms:W3CDTF">2019-01-31T10:04:00Z</dcterms:modified>
</cp:coreProperties>
</file>