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7D8E" w14:textId="65B0B706" w:rsidR="008030D3" w:rsidRPr="00B873B0" w:rsidRDefault="009A4C2E" w:rsidP="00B873B0">
      <w:pPr>
        <w:jc w:val="center"/>
        <w:rPr>
          <w:b/>
          <w:bCs w:val="0"/>
          <w:sz w:val="24"/>
          <w:szCs w:val="24"/>
        </w:rPr>
      </w:pPr>
      <w:bookmarkStart w:id="0" w:name="_GoBack"/>
      <w:bookmarkEnd w:id="0"/>
      <w:r w:rsidRPr="00B873B0">
        <w:rPr>
          <w:b/>
          <w:bCs w:val="0"/>
          <w:sz w:val="24"/>
          <w:szCs w:val="24"/>
        </w:rPr>
        <w:t>ACCESSING DIGITAL RESOURCES</w:t>
      </w:r>
    </w:p>
    <w:p w14:paraId="476A613B" w14:textId="5720FE88" w:rsidR="009A4C2E" w:rsidRDefault="009A4C2E"/>
    <w:p w14:paraId="27D1890A" w14:textId="2C83121C" w:rsidR="009A4C2E" w:rsidRDefault="009A4C2E"/>
    <w:p w14:paraId="3A2709B9" w14:textId="67FC5372" w:rsidR="009A4C2E" w:rsidRDefault="009A4C2E">
      <w:r>
        <w:t xml:space="preserve">As members of Aberdeenshire Libraries, all pupils have access to </w:t>
      </w:r>
      <w:r w:rsidR="001A4905">
        <w:t xml:space="preserve">our </w:t>
      </w:r>
      <w:r>
        <w:t>online resources.</w:t>
      </w:r>
      <w:r w:rsidR="00A17FFD">
        <w:t xml:space="preserve">  All of these are free of charge.</w:t>
      </w:r>
      <w:r w:rsidR="0093444C">
        <w:t xml:space="preserve">  </w:t>
      </w:r>
      <w:r w:rsidR="0049362F">
        <w:t>To access the</w:t>
      </w:r>
      <w:r w:rsidR="001A4905">
        <w:t>m</w:t>
      </w:r>
      <w:r w:rsidR="0049362F">
        <w:t>, you need your library membership number and a pin number.</w:t>
      </w:r>
      <w:r w:rsidR="00621556">
        <w:t xml:space="preserve">  If you do not know these, please email</w:t>
      </w:r>
      <w:r w:rsidR="007B2D7B">
        <w:t xml:space="preserve"> </w:t>
      </w:r>
      <w:hyperlink r:id="rId7" w:history="1">
        <w:r w:rsidR="000774D1">
          <w:rPr>
            <w:rStyle w:val="Hyperlink"/>
          </w:rPr>
          <w:t>gw15fairweatherkathe@glow.sch.uk</w:t>
        </w:r>
      </w:hyperlink>
      <w:r w:rsidR="000774D1">
        <w:t xml:space="preserve"> or </w:t>
      </w:r>
      <w:hyperlink r:id="rId8" w:history="1">
        <w:r w:rsidR="009B26B5" w:rsidRPr="00D822D7">
          <w:rPr>
            <w:rStyle w:val="Hyperlink"/>
          </w:rPr>
          <w:t>katie.fairweather@aberdeenshire.gov.uk</w:t>
        </w:r>
      </w:hyperlink>
      <w:r w:rsidR="004468D5">
        <w:t>.</w:t>
      </w:r>
    </w:p>
    <w:p w14:paraId="6660A659" w14:textId="24DA9CAB" w:rsidR="003545DB" w:rsidRDefault="003545DB"/>
    <w:p w14:paraId="71B91B05" w14:textId="64545EED" w:rsidR="003545DB" w:rsidRDefault="002F1D39">
      <w:hyperlink r:id="rId9" w:history="1">
        <w:r w:rsidR="00AF78C6" w:rsidRPr="00D822D7">
          <w:rPr>
            <w:rStyle w:val="Hyperlink"/>
          </w:rPr>
          <w:t>www.livelifeaberdeenshire.org.uk</w:t>
        </w:r>
      </w:hyperlink>
      <w:r w:rsidR="00DA6390">
        <w:tab/>
        <w:t xml:space="preserve">Select </w:t>
      </w:r>
      <w:r w:rsidR="00DA6390" w:rsidRPr="00DA6390">
        <w:rPr>
          <w:b/>
          <w:bCs w:val="0"/>
          <w:color w:val="FF0000"/>
        </w:rPr>
        <w:t>Libraries</w:t>
      </w:r>
    </w:p>
    <w:p w14:paraId="28705E2B" w14:textId="0AD0E2A9" w:rsidR="00AF78C6" w:rsidRDefault="00AF78C6"/>
    <w:p w14:paraId="0A942346" w14:textId="7D4C1FC4" w:rsidR="00AF78C6" w:rsidRDefault="00FA6242">
      <w:r>
        <w:t>(S</w:t>
      </w:r>
      <w:r w:rsidR="00C33CB8">
        <w:t xml:space="preserve">elect </w:t>
      </w:r>
      <w:r w:rsidR="00C33CB8" w:rsidRPr="001F1467">
        <w:rPr>
          <w:color w:val="FF0000"/>
        </w:rPr>
        <w:t xml:space="preserve">Library Catalogue </w:t>
      </w:r>
      <w:r w:rsidR="00662B86">
        <w:t>to see your personal information</w:t>
      </w:r>
      <w:r w:rsidR="00343FE8">
        <w:t xml:space="preserve"> and </w:t>
      </w:r>
      <w:r w:rsidR="00662B86">
        <w:t>order</w:t>
      </w:r>
      <w:r w:rsidR="00343FE8">
        <w:t>/</w:t>
      </w:r>
      <w:r w:rsidR="00662B86">
        <w:t>renew books</w:t>
      </w:r>
      <w:r w:rsidR="00E94425">
        <w:t xml:space="preserve">.  This is where you can change you </w:t>
      </w:r>
      <w:r w:rsidR="005076BF">
        <w:t>Pin Number to one you will remember.)</w:t>
      </w:r>
    </w:p>
    <w:p w14:paraId="5406A1B3" w14:textId="1D763735" w:rsidR="001F1467" w:rsidRDefault="001F1467"/>
    <w:p w14:paraId="5B30A44D" w14:textId="30381AE5" w:rsidR="001F1467" w:rsidRDefault="001F1467">
      <w:r>
        <w:t xml:space="preserve">From the main library page, select </w:t>
      </w:r>
      <w:r w:rsidRPr="007B2D7B">
        <w:rPr>
          <w:b/>
          <w:bCs w:val="0"/>
          <w:color w:val="FF0000"/>
        </w:rPr>
        <w:t>The Digital Library</w:t>
      </w:r>
      <w:r>
        <w:t>.</w:t>
      </w:r>
    </w:p>
    <w:p w14:paraId="736C93F6" w14:textId="27753D3A" w:rsidR="001F1467" w:rsidRDefault="001F1467"/>
    <w:p w14:paraId="57BAB375" w14:textId="2F700CBC" w:rsidR="001F1467" w:rsidRPr="00B873B0" w:rsidRDefault="008D557A">
      <w:pPr>
        <w:rPr>
          <w:b/>
          <w:bCs w:val="0"/>
          <w:color w:val="FF0000"/>
        </w:rPr>
      </w:pPr>
      <w:r w:rsidRPr="00B873B0">
        <w:rPr>
          <w:b/>
          <w:bCs w:val="0"/>
          <w:color w:val="FF0000"/>
        </w:rPr>
        <w:t>Overdrive</w:t>
      </w:r>
    </w:p>
    <w:p w14:paraId="78A55E03" w14:textId="51DC7429" w:rsidR="008D557A" w:rsidRDefault="008D557A">
      <w:r>
        <w:t xml:space="preserve">Once you input your membership number and pin, you have access to </w:t>
      </w:r>
      <w:r w:rsidR="00F712B2">
        <w:t>online e-books and audio books.</w:t>
      </w:r>
    </w:p>
    <w:p w14:paraId="11613685" w14:textId="5535E7FB" w:rsidR="00F712B2" w:rsidRDefault="00F712B2">
      <w:r>
        <w:t>They can be borrowed for 21 days at a time and will automatically delet</w:t>
      </w:r>
      <w:r w:rsidR="00473785">
        <w:t xml:space="preserve">e at the end of the loan </w:t>
      </w:r>
      <w:proofErr w:type="gramStart"/>
      <w:r w:rsidR="00473785">
        <w:t>period</w:t>
      </w:r>
      <w:r w:rsidR="00A951DA">
        <w:t>,</w:t>
      </w:r>
      <w:r w:rsidR="00473785">
        <w:t xml:space="preserve"> but</w:t>
      </w:r>
      <w:proofErr w:type="gramEnd"/>
      <w:r w:rsidR="00473785">
        <w:t xml:space="preserve"> can be taken out again.</w:t>
      </w:r>
    </w:p>
    <w:p w14:paraId="1708B772" w14:textId="447256EC" w:rsidR="00473785" w:rsidRDefault="00473785"/>
    <w:p w14:paraId="717D72A6" w14:textId="276C985A" w:rsidR="00473785" w:rsidRDefault="00B156AE">
      <w:r>
        <w:t xml:space="preserve">The books can be read or listened to in your browser but if you prefer, download the </w:t>
      </w:r>
      <w:r w:rsidRPr="00B156AE">
        <w:rPr>
          <w:color w:val="FF0000"/>
        </w:rPr>
        <w:t>Libby</w:t>
      </w:r>
      <w:r>
        <w:t xml:space="preserve"> app</w:t>
      </w:r>
      <w:r w:rsidR="000E3B56">
        <w:t xml:space="preserve"> </w:t>
      </w:r>
      <w:r w:rsidR="00E44BAE">
        <w:t xml:space="preserve">(from Google Play Store) </w:t>
      </w:r>
      <w:r w:rsidR="003E02C2">
        <w:t>to</w:t>
      </w:r>
      <w:r w:rsidR="000E3B56">
        <w:t xml:space="preserve"> your phone.  </w:t>
      </w:r>
      <w:r w:rsidR="004F52DC">
        <w:t xml:space="preserve">To will need to authenticate your account with your library service, (Aberdeenshire), </w:t>
      </w:r>
      <w:r w:rsidR="004D6089">
        <w:t>membership number and pin.</w:t>
      </w:r>
    </w:p>
    <w:p w14:paraId="4B6E5559" w14:textId="62CD0448" w:rsidR="004D6089" w:rsidRDefault="004D6089"/>
    <w:p w14:paraId="6E2A385D" w14:textId="5698539A" w:rsidR="004D6089" w:rsidRPr="00B873B0" w:rsidRDefault="00B873B0">
      <w:pPr>
        <w:rPr>
          <w:b/>
          <w:bCs w:val="0"/>
          <w:color w:val="FF0000"/>
        </w:rPr>
      </w:pPr>
      <w:r w:rsidRPr="00B873B0">
        <w:rPr>
          <w:b/>
          <w:bCs w:val="0"/>
          <w:color w:val="FF0000"/>
        </w:rPr>
        <w:t>RB Digital</w:t>
      </w:r>
    </w:p>
    <w:p w14:paraId="2CCC23C6" w14:textId="53F46D80" w:rsidR="00B873B0" w:rsidRDefault="007A6525">
      <w:r>
        <w:t>Download audio books and magazines.  Register using your library membership number and email address.</w:t>
      </w:r>
    </w:p>
    <w:p w14:paraId="6319B63E" w14:textId="6C715431" w:rsidR="007A6525" w:rsidRDefault="007A6525"/>
    <w:p w14:paraId="52B7DCAD" w14:textId="72E75742" w:rsidR="007A6525" w:rsidRPr="0026763F" w:rsidRDefault="0026763F">
      <w:pPr>
        <w:rPr>
          <w:b/>
          <w:bCs w:val="0"/>
          <w:color w:val="FF0000"/>
        </w:rPr>
      </w:pPr>
      <w:r w:rsidRPr="0026763F">
        <w:rPr>
          <w:b/>
          <w:bCs w:val="0"/>
          <w:color w:val="FF0000"/>
        </w:rPr>
        <w:t>Press Reader</w:t>
      </w:r>
    </w:p>
    <w:p w14:paraId="4AAD79CE" w14:textId="6D79087B" w:rsidR="0026763F" w:rsidRDefault="0026763F">
      <w:r>
        <w:t>Keep up to date with current affairs</w:t>
      </w:r>
      <w:r w:rsidR="00B964AD">
        <w:t xml:space="preserve"> or browse through your favourite magazines</w:t>
      </w:r>
      <w:r w:rsidR="00CF3103">
        <w:t>.  Press Reader has newspapers and books from</w:t>
      </w:r>
      <w:r w:rsidR="009C7882">
        <w:t xml:space="preserve"> o</w:t>
      </w:r>
      <w:r w:rsidR="00107BD9">
        <w:t>ver 120 countries</w:t>
      </w:r>
      <w:r w:rsidR="009C7882">
        <w:t>,</w:t>
      </w:r>
      <w:r w:rsidR="00107BD9">
        <w:t xml:space="preserve"> in more than </w:t>
      </w:r>
      <w:r w:rsidR="009C7882">
        <w:t>60 languages.</w:t>
      </w:r>
      <w:r w:rsidR="00812FD5">
        <w:t xml:space="preserve">  Pick your favourites and set up a home feed.  </w:t>
      </w:r>
      <w:r w:rsidR="00BD74EE">
        <w:t>You will be asked to register on a monthly basis, but that is all.</w:t>
      </w:r>
    </w:p>
    <w:p w14:paraId="57475550" w14:textId="66A0B700" w:rsidR="00BD74EE" w:rsidRDefault="00BD74EE"/>
    <w:p w14:paraId="3E996C24" w14:textId="1437F35F" w:rsidR="00BD74EE" w:rsidRPr="005D286A" w:rsidRDefault="005D286A">
      <w:pPr>
        <w:rPr>
          <w:b/>
          <w:bCs w:val="0"/>
          <w:color w:val="FF0000"/>
        </w:rPr>
      </w:pPr>
      <w:proofErr w:type="spellStart"/>
      <w:r w:rsidRPr="005D286A">
        <w:rPr>
          <w:b/>
          <w:bCs w:val="0"/>
          <w:color w:val="FF0000"/>
        </w:rPr>
        <w:t>Freegal</w:t>
      </w:r>
      <w:proofErr w:type="spellEnd"/>
    </w:p>
    <w:p w14:paraId="41803B55" w14:textId="09600E1F" w:rsidR="005D286A" w:rsidRDefault="005D286A">
      <w:r>
        <w:t>Stream music up to 5 hours a day and download 5 of your favourites a week,</w:t>
      </w:r>
    </w:p>
    <w:p w14:paraId="450A605A" w14:textId="3A1F332A" w:rsidR="005D286A" w:rsidRDefault="005D286A"/>
    <w:p w14:paraId="59FA9D43" w14:textId="40C0C3C4" w:rsidR="005D286A" w:rsidRPr="001A3874" w:rsidRDefault="001A3874">
      <w:pPr>
        <w:rPr>
          <w:b/>
          <w:bCs w:val="0"/>
          <w:color w:val="FF0000"/>
        </w:rPr>
      </w:pPr>
      <w:r w:rsidRPr="001A3874">
        <w:rPr>
          <w:b/>
          <w:bCs w:val="0"/>
          <w:color w:val="FF0000"/>
        </w:rPr>
        <w:t>Databases</w:t>
      </w:r>
    </w:p>
    <w:p w14:paraId="3E231F7A" w14:textId="47DFB91F" w:rsidR="001A3874" w:rsidRDefault="009D36FC">
      <w:r>
        <w:t xml:space="preserve">Perfect for research and revision as </w:t>
      </w:r>
      <w:r w:rsidR="00324EAA">
        <w:t>well as the driving theory test</w:t>
      </w:r>
      <w:r w:rsidR="00231F92">
        <w:t xml:space="preserve">.  </w:t>
      </w:r>
      <w:r w:rsidR="0000085F" w:rsidRPr="00EB55B7">
        <w:rPr>
          <w:b/>
          <w:bCs w:val="0"/>
          <w:color w:val="FF0000"/>
        </w:rPr>
        <w:t>Dawson Era</w:t>
      </w:r>
      <w:r w:rsidR="0000085F" w:rsidRPr="00EB55B7">
        <w:rPr>
          <w:color w:val="FF0000"/>
        </w:rPr>
        <w:t xml:space="preserve"> </w:t>
      </w:r>
      <w:r w:rsidR="00E2486D" w:rsidRPr="00E2486D">
        <w:t>for example,</w:t>
      </w:r>
      <w:r w:rsidR="00E2486D">
        <w:rPr>
          <w:color w:val="FF0000"/>
        </w:rPr>
        <w:t xml:space="preserve"> </w:t>
      </w:r>
      <w:r w:rsidR="0044763B">
        <w:t xml:space="preserve">gives you access to </w:t>
      </w:r>
      <w:r w:rsidR="006B63D7">
        <w:t>s</w:t>
      </w:r>
      <w:r w:rsidR="00683C6E">
        <w:t xml:space="preserve">tudy </w:t>
      </w:r>
      <w:r w:rsidR="006B63D7">
        <w:t>g</w:t>
      </w:r>
      <w:r w:rsidR="00683C6E">
        <w:t>uide</w:t>
      </w:r>
      <w:r w:rsidR="00367BC9">
        <w:t>s and</w:t>
      </w:r>
      <w:r w:rsidR="0044763B">
        <w:t xml:space="preserve"> </w:t>
      </w:r>
      <w:r w:rsidR="006B63D7">
        <w:t>p</w:t>
      </w:r>
      <w:r w:rsidR="00683C6E">
        <w:t xml:space="preserve">ast </w:t>
      </w:r>
      <w:r w:rsidR="006B63D7">
        <w:t>p</w:t>
      </w:r>
      <w:r w:rsidR="00683C6E">
        <w:t>apers</w:t>
      </w:r>
      <w:r w:rsidR="00367BC9">
        <w:t xml:space="preserve"> from the</w:t>
      </w:r>
      <w:r w:rsidR="006B63D7">
        <w:t xml:space="preserve"> e-book</w:t>
      </w:r>
      <w:r w:rsidR="00367BC9">
        <w:t xml:space="preserve"> collection.  </w:t>
      </w:r>
      <w:r w:rsidR="003267DC">
        <w:t>A must for pupils in S4 – 6.</w:t>
      </w:r>
    </w:p>
    <w:p w14:paraId="3B3EFCEB" w14:textId="7A79A9DF" w:rsidR="00DE5AB5" w:rsidRDefault="00DE5A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916"/>
        <w:gridCol w:w="3078"/>
      </w:tblGrid>
      <w:tr w:rsidR="000F3DB9" w14:paraId="43840E88" w14:textId="77777777" w:rsidTr="00F84720">
        <w:tc>
          <w:tcPr>
            <w:tcW w:w="2466" w:type="dxa"/>
          </w:tcPr>
          <w:p w14:paraId="60A9D6D1" w14:textId="50DDFE68" w:rsidR="000F3DB9" w:rsidRDefault="000F3DB9" w:rsidP="000F3DB9">
            <w:r>
              <w:rPr>
                <w:rFonts w:ascii="Verdana" w:hAnsi="Verdana" w:cs="Segoe UI"/>
                <w:noProof/>
                <w:color w:val="191919"/>
                <w:lang w:val="en"/>
              </w:rPr>
              <w:drawing>
                <wp:inline distT="0" distB="0" distL="0" distR="0" wp14:anchorId="5F25067C" wp14:editId="0397E4FF">
                  <wp:extent cx="1425600" cy="6948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6EA2EA83" w14:textId="15EAB7CB" w:rsidR="000F3DB9" w:rsidRDefault="000F3DB9" w:rsidP="000F3DB9">
            <w:pPr>
              <w:jc w:val="center"/>
            </w:pPr>
            <w:r>
              <w:rPr>
                <w:rFonts w:ascii="Verdana" w:hAnsi="Verdana" w:cs="Segoe UI"/>
                <w:noProof/>
                <w:color w:val="191919"/>
                <w:lang w:val="en"/>
              </w:rPr>
              <w:drawing>
                <wp:inline distT="0" distB="0" distL="0" distR="0" wp14:anchorId="68999C78" wp14:editId="55416374">
                  <wp:extent cx="1674000" cy="799200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7B0B9494" w14:textId="59F4521C" w:rsidR="000F3DB9" w:rsidRDefault="000F3DB9" w:rsidP="000F3DB9">
            <w:pPr>
              <w:jc w:val="center"/>
            </w:pPr>
            <w:r>
              <w:rPr>
                <w:rFonts w:ascii="Verdana" w:hAnsi="Verdana" w:cs="Segoe UI"/>
                <w:noProof/>
                <w:color w:val="191919"/>
                <w:lang w:val="en"/>
              </w:rPr>
              <w:drawing>
                <wp:inline distT="0" distB="0" distL="0" distR="0" wp14:anchorId="0E2E00E3" wp14:editId="68203C09">
                  <wp:extent cx="1818000" cy="453600"/>
                  <wp:effectExtent l="0" t="0" r="0" b="3810"/>
                  <wp:docPr id="2" name="Picture 2" descr="pressrea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ssrea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B9" w14:paraId="34E86593" w14:textId="77777777" w:rsidTr="00F84720">
        <w:tc>
          <w:tcPr>
            <w:tcW w:w="2466" w:type="dxa"/>
          </w:tcPr>
          <w:p w14:paraId="3C2E4D46" w14:textId="77777777" w:rsidR="000F3DB9" w:rsidRDefault="000F3DB9" w:rsidP="000F3DB9">
            <w:pPr>
              <w:jc w:val="center"/>
            </w:pPr>
          </w:p>
        </w:tc>
        <w:tc>
          <w:tcPr>
            <w:tcW w:w="2856" w:type="dxa"/>
          </w:tcPr>
          <w:p w14:paraId="57575669" w14:textId="77777777" w:rsidR="000F3DB9" w:rsidRDefault="000F3DB9" w:rsidP="000F3DB9">
            <w:pPr>
              <w:jc w:val="center"/>
            </w:pPr>
          </w:p>
        </w:tc>
        <w:tc>
          <w:tcPr>
            <w:tcW w:w="3078" w:type="dxa"/>
          </w:tcPr>
          <w:p w14:paraId="4C9AEE22" w14:textId="77777777" w:rsidR="000F3DB9" w:rsidRDefault="000F3DB9" w:rsidP="000F3DB9">
            <w:pPr>
              <w:jc w:val="center"/>
            </w:pPr>
          </w:p>
        </w:tc>
      </w:tr>
      <w:tr w:rsidR="000F3DB9" w14:paraId="15581B29" w14:textId="77777777" w:rsidTr="00F84720">
        <w:tc>
          <w:tcPr>
            <w:tcW w:w="2466" w:type="dxa"/>
          </w:tcPr>
          <w:p w14:paraId="685F5925" w14:textId="35CACBFA" w:rsidR="000F3DB9" w:rsidRDefault="005E1A0A" w:rsidP="000F3DB9">
            <w:pPr>
              <w:jc w:val="center"/>
            </w:pPr>
            <w:r>
              <w:rPr>
                <w:rFonts w:ascii="Verdana" w:hAnsi="Verdana" w:cs="Segoe UI"/>
                <w:noProof/>
                <w:color w:val="191919"/>
                <w:lang w:val="en"/>
              </w:rPr>
              <w:drawing>
                <wp:inline distT="0" distB="0" distL="0" distR="0" wp14:anchorId="3FFFF6C9" wp14:editId="6FB6C829">
                  <wp:extent cx="1717200" cy="79200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2CEBCA8B" w14:textId="0F69AE2A" w:rsidR="000F3DB9" w:rsidRDefault="00EA33A5" w:rsidP="005E1A0A">
            <w:pPr>
              <w:jc w:val="center"/>
            </w:pPr>
            <w:r>
              <w:rPr>
                <w:rFonts w:ascii="Verdana" w:hAnsi="Verdana" w:cs="Segoe UI"/>
                <w:noProof/>
                <w:color w:val="191919"/>
                <w:lang w:val="en"/>
              </w:rPr>
              <w:drawing>
                <wp:inline distT="0" distB="0" distL="0" distR="0" wp14:anchorId="644B2991" wp14:editId="7DD4A646">
                  <wp:extent cx="1710000" cy="10332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6CC5F1C3" w14:textId="5A386A2D" w:rsidR="000F3DB9" w:rsidRDefault="006A3C84" w:rsidP="00EA33A5">
            <w:pPr>
              <w:jc w:val="center"/>
            </w:pPr>
            <w:r>
              <w:rPr>
                <w:rFonts w:ascii="Verdana" w:hAnsi="Verdana" w:cs="Segoe UI"/>
                <w:noProof/>
                <w:color w:val="191919"/>
                <w:lang w:val="en"/>
              </w:rPr>
              <w:drawing>
                <wp:inline distT="0" distB="0" distL="0" distR="0" wp14:anchorId="414E35FC" wp14:editId="56B91DC8">
                  <wp:extent cx="1526400" cy="114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6BC6F" w14:textId="77777777" w:rsidR="00DE5AB5" w:rsidRDefault="00DE5AB5"/>
    <w:sectPr w:rsidR="00DE5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D0"/>
    <w:rsid w:val="0000085F"/>
    <w:rsid w:val="00033E5E"/>
    <w:rsid w:val="000774D1"/>
    <w:rsid w:val="000E3B56"/>
    <w:rsid w:val="000F3DB9"/>
    <w:rsid w:val="00107BD9"/>
    <w:rsid w:val="001A3874"/>
    <w:rsid w:val="001A4905"/>
    <w:rsid w:val="001F1467"/>
    <w:rsid w:val="00231F92"/>
    <w:rsid w:val="0026763F"/>
    <w:rsid w:val="002F1D39"/>
    <w:rsid w:val="00324EAA"/>
    <w:rsid w:val="003267DC"/>
    <w:rsid w:val="00343FE8"/>
    <w:rsid w:val="003545DB"/>
    <w:rsid w:val="00367BC9"/>
    <w:rsid w:val="003E02C2"/>
    <w:rsid w:val="004468D5"/>
    <w:rsid w:val="0044763B"/>
    <w:rsid w:val="00473785"/>
    <w:rsid w:val="0049362F"/>
    <w:rsid w:val="004D6089"/>
    <w:rsid w:val="004F52DC"/>
    <w:rsid w:val="005076BF"/>
    <w:rsid w:val="005D286A"/>
    <w:rsid w:val="005E1A0A"/>
    <w:rsid w:val="00621556"/>
    <w:rsid w:val="00635B8E"/>
    <w:rsid w:val="00662B86"/>
    <w:rsid w:val="00683C6E"/>
    <w:rsid w:val="006A3C84"/>
    <w:rsid w:val="006B63D7"/>
    <w:rsid w:val="007A6525"/>
    <w:rsid w:val="007B2D7B"/>
    <w:rsid w:val="007F0C1A"/>
    <w:rsid w:val="008030D3"/>
    <w:rsid w:val="00812FD5"/>
    <w:rsid w:val="0083408A"/>
    <w:rsid w:val="008D557A"/>
    <w:rsid w:val="0093444C"/>
    <w:rsid w:val="009A4C2E"/>
    <w:rsid w:val="009B26B5"/>
    <w:rsid w:val="009C7882"/>
    <w:rsid w:val="009D36FC"/>
    <w:rsid w:val="00A17FFD"/>
    <w:rsid w:val="00A84ECB"/>
    <w:rsid w:val="00A951DA"/>
    <w:rsid w:val="00AF78C6"/>
    <w:rsid w:val="00B156AE"/>
    <w:rsid w:val="00B447A2"/>
    <w:rsid w:val="00B873B0"/>
    <w:rsid w:val="00B964AD"/>
    <w:rsid w:val="00BD74EE"/>
    <w:rsid w:val="00C33CB8"/>
    <w:rsid w:val="00CF3103"/>
    <w:rsid w:val="00DA5AD0"/>
    <w:rsid w:val="00DA6390"/>
    <w:rsid w:val="00DE5AB5"/>
    <w:rsid w:val="00E2486D"/>
    <w:rsid w:val="00E44BAE"/>
    <w:rsid w:val="00E94425"/>
    <w:rsid w:val="00EA33A5"/>
    <w:rsid w:val="00EB55B7"/>
    <w:rsid w:val="00F712B2"/>
    <w:rsid w:val="00F84720"/>
    <w:rsid w:val="00FA6242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2703"/>
  <w15:chartTrackingRefBased/>
  <w15:docId w15:val="{3A27409C-23F4-4760-AF30-9163E21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bCs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5A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fairweather@aberdeenshire.gov.uk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mailto:gw15fairweatherkathe@glow.sch.uk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livelifeaberdeenshire.org.uk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12E9E1D8E6445BE8613D6C879EC32" ma:contentTypeVersion="15" ma:contentTypeDescription="Create a new document." ma:contentTypeScope="" ma:versionID="9b02c6bca0f9e080168502ed7a2f0679">
  <xsd:schema xmlns:xsd="http://www.w3.org/2001/XMLSchema" xmlns:xs="http://www.w3.org/2001/XMLSchema" xmlns:p="http://schemas.microsoft.com/office/2006/metadata/properties" xmlns:ns1="http://schemas.microsoft.com/sharepoint/v3" xmlns:ns3="1648b7a5-7806-4530-b97c-7ed966aa07b6" xmlns:ns4="d8fa43e8-deef-4ab5-bc33-32a0b5b3aa82" targetNamespace="http://schemas.microsoft.com/office/2006/metadata/properties" ma:root="true" ma:fieldsID="a40c29260505e3fc16faebaa84694dd9" ns1:_="" ns3:_="" ns4:_="">
    <xsd:import namespace="http://schemas.microsoft.com/sharepoint/v3"/>
    <xsd:import namespace="1648b7a5-7806-4530-b97c-7ed966aa07b6"/>
    <xsd:import namespace="d8fa43e8-deef-4ab5-bc33-32a0b5b3aa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b7a5-7806-4530-b97c-7ed966aa0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43e8-deef-4ab5-bc33-32a0b5b3a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56152-7E31-420A-B4B1-E335EB5C5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4B0BC9-292B-4680-B832-1ECFF2982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768C6-02C7-496A-8A8E-A5545C4D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48b7a5-7806-4530-b97c-7ed966aa07b6"/>
    <ds:schemaRef ds:uri="d8fa43e8-deef-4ab5-bc33-32a0b5b3a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Fairweather</dc:creator>
  <cp:keywords/>
  <dc:description/>
  <cp:lastModifiedBy>Colin Fleetham</cp:lastModifiedBy>
  <cp:revision>2</cp:revision>
  <dcterms:created xsi:type="dcterms:W3CDTF">2020-04-03T10:02:00Z</dcterms:created>
  <dcterms:modified xsi:type="dcterms:W3CDTF">2020-04-03T10:02:00Z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0x01010083B12E9E1D8E6445BE8613D6C879EC32</vt:lpwstr>
  </property>
</Properties>
</file>